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CD33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3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CD33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F64CA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BB3527" w:rsidRDefault="00F64CA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t>Иглы для биопсии мягких тканей одноразовые гильотинные, в вариантах</w:t>
                  </w: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br/>
                    <w:t>исполнения: Игла для биопсии гильотинная, универсальная: SBL16/20, 16G</w:t>
                  </w: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br/>
                    <w:t>x 20 см. (арт. SBL16/20)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4CA0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4CA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BB3527" w:rsidRDefault="00F64CA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t>Иглы для биопсии мягких тканей одноразовые гильотинные, в вариантах</w:t>
                  </w: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br/>
                    <w:t>исполнения: Игла для биопсии гильотинная, универсальная: SBL18/20, 18G</w:t>
                  </w: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br/>
                    <w:t>x 20 см. (арт. SBL18/20)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64CA0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F64CA0" w:rsidRDefault="00F64C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4CA0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64CA0" w:rsidRPr="004864FE" w:rsidRDefault="00F64C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21494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21494" w:rsidRPr="004864FE" w:rsidRDefault="00D214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338B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1494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4CA0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415DE-F828-44A9-B1A1-06077238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4354</Words>
  <Characters>24820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2023-02-20T03:36:00Z</dcterms:modified>
</cp:coreProperties>
</file>